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8"/>
      </w:tblGrid>
      <w:tr w:rsidR="00CB2B6A" w14:paraId="4116990F" w14:textId="77777777" w:rsidTr="00CB2B6A">
        <w:trPr>
          <w:trHeight w:val="2100"/>
        </w:trPr>
        <w:tc>
          <w:tcPr>
            <w:tcW w:w="68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5567584D" w14:textId="08A0F4FE" w:rsidR="00CB2B6A" w:rsidRDefault="00CB2B6A">
            <w:pPr>
              <w:rPr>
                <w:b/>
                <w:bCs/>
                <w:color w:val="1B3A5C"/>
                <w:sz w:val="34"/>
                <w:szCs w:val="34"/>
              </w:rPr>
            </w:pPr>
            <w:r>
              <w:rPr>
                <w:b/>
                <w:bCs/>
                <w:color w:val="1B3A5C"/>
                <w:sz w:val="34"/>
                <w:szCs w:val="34"/>
              </w:rPr>
              <w:t>Arturo Enrique Bisonó Rodríguez</w:t>
            </w:r>
          </w:p>
          <w:p w14:paraId="1B6F6CB4" w14:textId="77777777" w:rsidR="00BF5CE2" w:rsidRDefault="00BF5CE2"/>
          <w:p w14:paraId="1429687D" w14:textId="5C80889C" w:rsidR="00CB2B6A" w:rsidRPr="00CB2B6A" w:rsidRDefault="00CB2B6A">
            <w:pPr>
              <w:rPr>
                <w:lang w:val="en-US"/>
              </w:rPr>
            </w:pPr>
            <w:r w:rsidRPr="00CB2B6A">
              <w:rPr>
                <w:b/>
                <w:bCs/>
                <w:color w:val="333333"/>
                <w:sz w:val="16"/>
                <w:szCs w:val="16"/>
                <w:lang w:val="en-US"/>
              </w:rPr>
              <w:t xml:space="preserve">Email: </w:t>
            </w:r>
            <w:proofErr w:type="gramStart"/>
            <w:r w:rsidRPr="00CB2B6A">
              <w:rPr>
                <w:color w:val="333333"/>
                <w:sz w:val="16"/>
                <w:szCs w:val="16"/>
                <w:lang w:val="en-US"/>
              </w:rPr>
              <w:t>arturo@arturobisono.com  |</w:t>
            </w:r>
            <w:proofErr w:type="gramEnd"/>
            <w:r w:rsidRPr="00CB2B6A">
              <w:rPr>
                <w:color w:val="333333"/>
                <w:sz w:val="16"/>
                <w:szCs w:val="16"/>
                <w:lang w:val="en-US"/>
              </w:rPr>
              <w:t xml:space="preserve">  </w:t>
            </w:r>
            <w:r w:rsidRPr="00CB2B6A">
              <w:rPr>
                <w:b/>
                <w:bCs/>
                <w:color w:val="333333"/>
                <w:sz w:val="16"/>
                <w:szCs w:val="16"/>
                <w:lang w:val="en-US"/>
              </w:rPr>
              <w:t xml:space="preserve">Tel: </w:t>
            </w:r>
            <w:r w:rsidRPr="00CB2B6A">
              <w:rPr>
                <w:color w:val="333333"/>
                <w:sz w:val="16"/>
                <w:szCs w:val="16"/>
                <w:lang w:val="en-US"/>
              </w:rPr>
              <w:t>849-410-8574</w:t>
            </w:r>
          </w:p>
          <w:p w14:paraId="139A3218" w14:textId="10A533B1" w:rsidR="00CB2B6A" w:rsidRDefault="00CB2B6A">
            <w:pPr>
              <w:spacing w:before="10"/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Dirección: </w:t>
            </w:r>
            <w:r>
              <w:rPr>
                <w:color w:val="333333"/>
                <w:sz w:val="16"/>
                <w:szCs w:val="16"/>
              </w:rPr>
              <w:t>Madame Curie No. 2, Gazcue, Santo Domingo, R.D.</w:t>
            </w:r>
          </w:p>
          <w:p w14:paraId="1D807C6A" w14:textId="4634BEC8" w:rsidR="00CB2B6A" w:rsidRDefault="00CB2B6A">
            <w:pPr>
              <w:spacing w:before="10"/>
            </w:pPr>
            <w:r>
              <w:rPr>
                <w:b/>
                <w:bCs/>
                <w:color w:val="333333"/>
                <w:sz w:val="16"/>
                <w:szCs w:val="16"/>
              </w:rPr>
              <w:t xml:space="preserve">Nacimiento: </w:t>
            </w:r>
            <w:r>
              <w:rPr>
                <w:color w:val="333333"/>
                <w:sz w:val="16"/>
                <w:szCs w:val="16"/>
              </w:rPr>
              <w:t xml:space="preserve">30/09/1988  |  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Nacionalidad: </w:t>
            </w:r>
            <w:r>
              <w:rPr>
                <w:color w:val="333333"/>
                <w:sz w:val="16"/>
                <w:szCs w:val="16"/>
              </w:rPr>
              <w:t>Dominicana</w:t>
            </w:r>
          </w:p>
        </w:tc>
      </w:tr>
    </w:tbl>
    <w:p w14:paraId="1AFA9B69" w14:textId="5600A1E7" w:rsidR="001A0BDC" w:rsidRDefault="00CB2B6A">
      <w:pPr>
        <w:pBdr>
          <w:bottom w:val="single" w:sz="6" w:space="2" w:color="2E75B6"/>
        </w:pBdr>
        <w:spacing w:before="200" w:after="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EB00F" wp14:editId="1BA7435A">
            <wp:simplePos x="0" y="0"/>
            <wp:positionH relativeFrom="column">
              <wp:posOffset>4694864</wp:posOffset>
            </wp:positionH>
            <wp:positionV relativeFrom="paragraph">
              <wp:posOffset>-1663787</wp:posOffset>
            </wp:positionV>
            <wp:extent cx="1377315" cy="1909445"/>
            <wp:effectExtent l="0" t="0" r="0" b="0"/>
            <wp:wrapNone/>
            <wp:docPr id="856405221" name="Imagen 2" descr="Un hombre con chamarra neg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05221" name="Imagen 2" descr="Un hombre con chamarra negra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8284" r="11" b="2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0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1B3A5C"/>
          <w:sz w:val="20"/>
          <w:szCs w:val="20"/>
        </w:rPr>
        <w:t>PERFIL PROFESIONAL</w:t>
      </w:r>
    </w:p>
    <w:p w14:paraId="1B28BF26" w14:textId="4CFB0520" w:rsidR="001A0BDC" w:rsidRDefault="00000000">
      <w:pPr>
        <w:spacing w:before="50"/>
      </w:pPr>
      <w:r>
        <w:rPr>
          <w:color w:val="333333"/>
          <w:sz w:val="16"/>
          <w:szCs w:val="16"/>
        </w:rPr>
        <w:t>Ingeniero agrónomo con maestría en riego y agricultura de precisión, más de 12 años de experiencia en consultoría técnica, innovación agropecuaria, análisis geoespacial y gestión de proyectos de desarrollo rural. Especializado en teledetección, SIG, agricultura climáticamente inteligente y plataformas de alerta temprana. Experiencia con organismos internacionales (FIDA,, FAO) y entidades gubernamentales en diseño de políticas públicas y proyectos de resiliencia rural.</w:t>
      </w:r>
    </w:p>
    <w:p w14:paraId="0539CA88" w14:textId="592359B0" w:rsidR="001A0BDC" w:rsidRDefault="00000000">
      <w:pPr>
        <w:pBdr>
          <w:bottom w:val="single" w:sz="6" w:space="2" w:color="2E75B6"/>
        </w:pBdr>
        <w:spacing w:before="200" w:after="40"/>
      </w:pPr>
      <w:r>
        <w:rPr>
          <w:b/>
          <w:bCs/>
          <w:color w:val="1B3A5C"/>
          <w:sz w:val="20"/>
          <w:szCs w:val="20"/>
        </w:rPr>
        <w:t>EXPERIENCIA PROFESIONAL</w:t>
      </w:r>
    </w:p>
    <w:p w14:paraId="151B7FF4" w14:textId="0D83A410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CEO / Director General</w:t>
      </w:r>
    </w:p>
    <w:p w14:paraId="5B085E20" w14:textId="568D56C9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CampoModerno, E.I.R.L.</w:t>
      </w:r>
      <w:r>
        <w:rPr>
          <w:color w:val="666666"/>
          <w:sz w:val="15"/>
          <w:szCs w:val="15"/>
        </w:rPr>
        <w:tab/>
        <w:t>Santo Domingo | Dic. 2023 – Actual</w:t>
      </w:r>
    </w:p>
    <w:p w14:paraId="6B0FCB16" w14:textId="78CA98CD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Dirección de firma de consultoría en innovación agropecuaria, análisis geoespacial y asesoría técnica rural.</w:t>
      </w:r>
    </w:p>
    <w:p w14:paraId="57EF068C" w14:textId="7D4523FE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Consultorías en teledetección, cartografía de riesgos, estudios topográficos y sistemas de riego.</w:t>
      </w:r>
    </w:p>
    <w:p w14:paraId="07DB16EF" w14:textId="0D6D1481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Asesor de Innovación Agrícola de la Cancillería</w:t>
      </w:r>
    </w:p>
    <w:p w14:paraId="7B0B7BC7" w14:textId="5DE128D2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Universidad Tecnológica de Santiago (UTESA)</w:t>
      </w:r>
      <w:r>
        <w:rPr>
          <w:color w:val="666666"/>
          <w:sz w:val="15"/>
          <w:szCs w:val="15"/>
        </w:rPr>
        <w:tab/>
        <w:t>Santo Domingo | Sep. 2024 – Actual</w:t>
      </w:r>
    </w:p>
    <w:p w14:paraId="029880E6" w14:textId="085B6E8C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Asesorar en innovación y agricultura digital para transformar la carrera de agronomía, programas de postgrado e investigación agtech.</w:t>
      </w:r>
    </w:p>
    <w:p w14:paraId="2F95B7EB" w14:textId="783C9065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 xml:space="preserve">Enlace </w:t>
      </w:r>
      <w:r w:rsidR="008A1577">
        <w:rPr>
          <w:b/>
          <w:bCs/>
          <w:color w:val="1B3A5C"/>
          <w:sz w:val="19"/>
          <w:szCs w:val="19"/>
        </w:rPr>
        <w:t>País</w:t>
      </w:r>
    </w:p>
    <w:p w14:paraId="1DBD8D57" w14:textId="45D046F8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Fondo Internacional de Desarrollo Agrícola (FIDA, Agencia de Naciones Unidas)</w:t>
      </w:r>
      <w:r>
        <w:rPr>
          <w:color w:val="666666"/>
          <w:sz w:val="15"/>
          <w:szCs w:val="15"/>
        </w:rPr>
        <w:tab/>
        <w:t>Santo Domingo | Ene. 2024 – Actual</w:t>
      </w:r>
    </w:p>
    <w:p w14:paraId="0BE3FA5B" w14:textId="60A5DC48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Oficial de enlace entre equipo FIDA y autoridades de gobierno dominicano para mejorar eficacia de intervenciones y proyectos.</w:t>
      </w:r>
    </w:p>
    <w:p w14:paraId="44082DEE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Director de Agricultura Familiar</w:t>
      </w:r>
    </w:p>
    <w:p w14:paraId="08D6D822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Supérate – Gobierno Dominicano</w:t>
      </w:r>
      <w:r>
        <w:rPr>
          <w:color w:val="666666"/>
          <w:sz w:val="15"/>
          <w:szCs w:val="15"/>
        </w:rPr>
        <w:tab/>
        <w:t>Santo Domingo | Sep. 2020 – Dic. 2023</w:t>
      </w:r>
    </w:p>
    <w:p w14:paraId="4CBE25B5" w14:textId="67824186" w:rsidR="00BF5CE2" w:rsidRDefault="00000000" w:rsidP="00BF5CE2">
      <w:pPr>
        <w:spacing w:before="15"/>
        <w:ind w:left="180"/>
        <w:rPr>
          <w:color w:val="333333"/>
          <w:sz w:val="15"/>
          <w:szCs w:val="15"/>
        </w:rPr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Políticas públicas para reducir pobreza de agricultores. Infraestructuras rurales para productividad.</w:t>
      </w:r>
      <w:r w:rsidR="00BF5CE2">
        <w:rPr>
          <w:color w:val="333333"/>
          <w:sz w:val="15"/>
          <w:szCs w:val="15"/>
        </w:rPr>
        <w:t xml:space="preserve"> Apoyo a la agricultura familiar </w:t>
      </w:r>
    </w:p>
    <w:p w14:paraId="35272D46" w14:textId="0724C0F4" w:rsidR="00BF5CE2" w:rsidRPr="00BF5CE2" w:rsidRDefault="00BF5CE2" w:rsidP="00BF5CE2">
      <w:pPr>
        <w:spacing w:before="15"/>
        <w:ind w:left="180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p</w:t>
      </w:r>
      <w:r w:rsidRPr="00BF5CE2">
        <w:rPr>
          <w:color w:val="000000" w:themeColor="text1"/>
          <w:sz w:val="15"/>
          <w:szCs w:val="15"/>
        </w:rPr>
        <w:t>ara la comercialización al sector publico y privado.</w:t>
      </w:r>
    </w:p>
    <w:p w14:paraId="4C629CE0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Asesor de Innovación para la Agricultura Familiar</w:t>
      </w:r>
    </w:p>
    <w:p w14:paraId="7E29181C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Gabinete de Políticas Sociales – Vicepresidencia de la R.D.</w:t>
      </w:r>
      <w:r>
        <w:rPr>
          <w:color w:val="666666"/>
          <w:sz w:val="15"/>
          <w:szCs w:val="15"/>
        </w:rPr>
        <w:tab/>
        <w:t>Santo Domingo | Ene. 2017 – Ago. 2020</w:t>
      </w:r>
    </w:p>
    <w:p w14:paraId="098EE91B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Asesoría al vicepresidente y Embajador de Buena Voluntad ante FAO en políticas de innovación para agricultura familiar.</w:t>
      </w:r>
    </w:p>
    <w:p w14:paraId="4A9158BF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Consultor – Estudios de Suelos y Teledetección</w:t>
      </w:r>
    </w:p>
    <w:p w14:paraId="45066A1C" w14:textId="7F74B393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Agrodec</w:t>
      </w:r>
      <w:r>
        <w:rPr>
          <w:color w:val="666666"/>
          <w:sz w:val="15"/>
          <w:szCs w:val="15"/>
        </w:rPr>
        <w:tab/>
        <w:t>Santo Domingo | 20</w:t>
      </w:r>
      <w:r w:rsidR="00CB2B6A">
        <w:rPr>
          <w:color w:val="666666"/>
          <w:sz w:val="15"/>
          <w:szCs w:val="15"/>
        </w:rPr>
        <w:t>19</w:t>
      </w:r>
      <w:r>
        <w:rPr>
          <w:color w:val="666666"/>
          <w:sz w:val="15"/>
          <w:szCs w:val="15"/>
        </w:rPr>
        <w:t xml:space="preserve"> – 202</w:t>
      </w:r>
      <w:r w:rsidR="00CB2B6A">
        <w:rPr>
          <w:color w:val="666666"/>
          <w:sz w:val="15"/>
          <w:szCs w:val="15"/>
        </w:rPr>
        <w:t>0</w:t>
      </w:r>
    </w:p>
    <w:p w14:paraId="22217C08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Teledetección agroclimática, índices de vegetación y digitalización de datos de 6,400 agricultores en 7 proyectos agroforestales.</w:t>
      </w:r>
    </w:p>
    <w:p w14:paraId="799FF9CC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Consultor – Plataforma de Alerta Temprana de Sequía Agrícola</w:t>
      </w:r>
    </w:p>
    <w:p w14:paraId="093EFE79" w14:textId="0C30A0F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Mapix Aerial / Programa Mundial de Alimentos (PMA)</w:t>
      </w:r>
      <w:r>
        <w:rPr>
          <w:color w:val="666666"/>
          <w:sz w:val="15"/>
          <w:szCs w:val="15"/>
        </w:rPr>
        <w:tab/>
        <w:t xml:space="preserve">Santo Domingo | Nov. </w:t>
      </w:r>
      <w:r w:rsidR="00CB2B6A">
        <w:rPr>
          <w:color w:val="666666"/>
          <w:sz w:val="15"/>
          <w:szCs w:val="15"/>
        </w:rPr>
        <w:t>2019 – 2020</w:t>
      </w:r>
    </w:p>
    <w:p w14:paraId="50B52912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Plataforma digital de gestión integral del riesgo de sequía a nivel nacional.</w:t>
      </w:r>
    </w:p>
    <w:p w14:paraId="50F56B75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Consultor – Identificación de Productores y Necesidades Tecnológicas</w:t>
      </w:r>
    </w:p>
    <w:p w14:paraId="72285220" w14:textId="7B63E82B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Fundación Propagas</w:t>
      </w:r>
      <w:r>
        <w:rPr>
          <w:color w:val="666666"/>
          <w:sz w:val="15"/>
          <w:szCs w:val="15"/>
        </w:rPr>
        <w:tab/>
        <w:t>Santo Domingo | Ago. 2019</w:t>
      </w:r>
      <w:r w:rsidR="00CB2B6A">
        <w:rPr>
          <w:color w:val="666666"/>
          <w:sz w:val="15"/>
          <w:szCs w:val="15"/>
        </w:rPr>
        <w:t>8</w:t>
      </w:r>
      <w:r>
        <w:rPr>
          <w:color w:val="666666"/>
          <w:sz w:val="15"/>
          <w:szCs w:val="15"/>
        </w:rPr>
        <w:t>– Nov. 20</w:t>
      </w:r>
      <w:r w:rsidR="00CB2B6A">
        <w:rPr>
          <w:color w:val="666666"/>
          <w:sz w:val="15"/>
          <w:szCs w:val="15"/>
        </w:rPr>
        <w:t>19</w:t>
      </w:r>
    </w:p>
    <w:p w14:paraId="0FE381AD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Criterios de selección para proyecto acuapónico. Análisis de rubros sustentables.</w:t>
      </w:r>
    </w:p>
    <w:p w14:paraId="25F27A7A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Consultoría de Agricultura Climáticamente Inteligente</w:t>
      </w:r>
    </w:p>
    <w:p w14:paraId="62516FBD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Centro de Desarrollo Agrícola y Forestal (CEDAF)</w:t>
      </w:r>
      <w:r>
        <w:rPr>
          <w:color w:val="666666"/>
          <w:sz w:val="15"/>
          <w:szCs w:val="15"/>
        </w:rPr>
        <w:tab/>
        <w:t>Santo Domingo | Abr. 2017 – Ene. 2018</w:t>
      </w:r>
    </w:p>
    <w:p w14:paraId="69388232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Diagnóstico de 60 productores mediante NDVI. Recomendaciones de fertilización diferenciadas.</w:t>
      </w:r>
    </w:p>
    <w:p w14:paraId="37E79E84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CEO Agroprecisión Dominicana</w:t>
      </w:r>
    </w:p>
    <w:p w14:paraId="4BB90C70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Agroprecisión Dominicana</w:t>
      </w:r>
      <w:r>
        <w:rPr>
          <w:color w:val="666666"/>
          <w:sz w:val="15"/>
          <w:szCs w:val="15"/>
        </w:rPr>
        <w:tab/>
        <w:t>Santo Domingo | Ene. 2016 – Actual</w:t>
      </w:r>
    </w:p>
    <w:p w14:paraId="151F0067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Agricultura de precisión: mapas de suelos, conductividad electromagnética, NDVI por teledetección.</w:t>
      </w:r>
    </w:p>
    <w:p w14:paraId="615F2F7B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Director de Proyecto – Desarrollador de Germoplasma</w:t>
      </w:r>
    </w:p>
    <w:p w14:paraId="1BAD6724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Ex Presidente Hipólito Mejía</w:t>
      </w:r>
      <w:r>
        <w:rPr>
          <w:color w:val="666666"/>
          <w:sz w:val="15"/>
          <w:szCs w:val="15"/>
        </w:rPr>
        <w:tab/>
        <w:t>San Cristóbal | Mar. 2015 – Mar. 2016</w:t>
      </w:r>
    </w:p>
    <w:p w14:paraId="665A814E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Finca experimental para variedades resilientes de mango orgánico.</w:t>
      </w:r>
    </w:p>
    <w:p w14:paraId="391F7423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Gerente de Producción – Proyecto San José de Ocoa</w:t>
      </w:r>
    </w:p>
    <w:p w14:paraId="06B744A6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Grupo Macapi</w:t>
      </w:r>
      <w:r>
        <w:rPr>
          <w:color w:val="666666"/>
          <w:sz w:val="15"/>
          <w:szCs w:val="15"/>
        </w:rPr>
        <w:tab/>
        <w:t>San José de Ocoa | Ene. 2014 – Dic. 2014</w:t>
      </w:r>
    </w:p>
    <w:p w14:paraId="3FD1574A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200 ha aguacate Hass para exportación. Cartografía digital y GlobalGap.</w:t>
      </w:r>
    </w:p>
    <w:p w14:paraId="5D0E9A8E" w14:textId="77777777" w:rsidR="001A0BDC" w:rsidRDefault="00000000">
      <w:pPr>
        <w:spacing w:before="110"/>
      </w:pPr>
      <w:r>
        <w:rPr>
          <w:b/>
          <w:bCs/>
          <w:color w:val="1B3A5C"/>
          <w:sz w:val="19"/>
          <w:szCs w:val="19"/>
        </w:rPr>
        <w:t>Jefe de Campo</w:t>
      </w:r>
    </w:p>
    <w:p w14:paraId="144C3046" w14:textId="77777777" w:rsidR="001A0BDC" w:rsidRDefault="00000000">
      <w:pPr>
        <w:tabs>
          <w:tab w:val="right" w:pos="9026"/>
        </w:tabs>
      </w:pPr>
      <w:r>
        <w:rPr>
          <w:i/>
          <w:iCs/>
          <w:color w:val="2E75B6"/>
          <w:sz w:val="17"/>
          <w:szCs w:val="17"/>
        </w:rPr>
        <w:t>Hortofruticultura Sudamericana</w:t>
      </w:r>
      <w:r>
        <w:rPr>
          <w:color w:val="666666"/>
          <w:sz w:val="15"/>
          <w:szCs w:val="15"/>
        </w:rPr>
        <w:tab/>
        <w:t>Santiago, Chile | Ene. 2012 – Ene. 2014</w:t>
      </w:r>
    </w:p>
    <w:p w14:paraId="49E4BC7B" w14:textId="77777777" w:rsidR="001A0BDC" w:rsidRDefault="00000000">
      <w:pPr>
        <w:spacing w:before="15"/>
        <w:ind w:left="180"/>
      </w:pPr>
      <w:r>
        <w:rPr>
          <w:color w:val="2E75B6"/>
          <w:sz w:val="15"/>
          <w:szCs w:val="15"/>
        </w:rPr>
        <w:t xml:space="preserve">▸ </w:t>
      </w:r>
      <w:r>
        <w:rPr>
          <w:color w:val="333333"/>
          <w:sz w:val="15"/>
          <w:szCs w:val="15"/>
        </w:rPr>
        <w:t>Cosecha y postcosecha en 24 ha de higos y kaki para exportación.</w:t>
      </w:r>
    </w:p>
    <w:p w14:paraId="671F865C" w14:textId="77777777" w:rsidR="001A0BDC" w:rsidRDefault="00000000">
      <w:pPr>
        <w:pBdr>
          <w:bottom w:val="single" w:sz="6" w:space="2" w:color="2E75B6"/>
        </w:pBdr>
        <w:spacing w:before="200" w:after="40"/>
      </w:pPr>
      <w:r>
        <w:rPr>
          <w:b/>
          <w:bCs/>
          <w:color w:val="1B3A5C"/>
          <w:sz w:val="20"/>
          <w:szCs w:val="20"/>
        </w:rPr>
        <w:lastRenderedPageBreak/>
        <w:t>EDUCACIÓN</w:t>
      </w:r>
    </w:p>
    <w:p w14:paraId="3F7262CB" w14:textId="77777777" w:rsidR="001A0BDC" w:rsidRDefault="00000000">
      <w:pPr>
        <w:tabs>
          <w:tab w:val="right" w:pos="9026"/>
        </w:tabs>
        <w:spacing w:before="80"/>
      </w:pPr>
      <w:r>
        <w:rPr>
          <w:b/>
          <w:bCs/>
          <w:color w:val="1B3A5C"/>
        </w:rPr>
        <w:t>Magíster en Riego y Agricultura de Precisión</w:t>
      </w:r>
      <w:r>
        <w:rPr>
          <w:color w:val="666666"/>
          <w:sz w:val="15"/>
          <w:szCs w:val="15"/>
        </w:rPr>
        <w:tab/>
        <w:t>Mayo 2023 – Actual</w:t>
      </w:r>
    </w:p>
    <w:p w14:paraId="2244EAC0" w14:textId="77777777" w:rsidR="001A0BDC" w:rsidRDefault="00000000">
      <w:r>
        <w:rPr>
          <w:i/>
          <w:iCs/>
          <w:color w:val="2E75B6"/>
          <w:sz w:val="15"/>
          <w:szCs w:val="15"/>
        </w:rPr>
        <w:t>Universidad de Talca – Santiago, Chile</w:t>
      </w:r>
    </w:p>
    <w:p w14:paraId="48EE9BE5" w14:textId="77777777" w:rsidR="001A0BDC" w:rsidRDefault="00000000">
      <w:pPr>
        <w:tabs>
          <w:tab w:val="right" w:pos="9026"/>
        </w:tabs>
        <w:spacing w:before="80"/>
      </w:pPr>
      <w:r>
        <w:rPr>
          <w:b/>
          <w:bCs/>
          <w:color w:val="1B3A5C"/>
        </w:rPr>
        <w:t>Ingeniero Agrónomo</w:t>
      </w:r>
      <w:r>
        <w:rPr>
          <w:color w:val="666666"/>
          <w:sz w:val="15"/>
          <w:szCs w:val="15"/>
        </w:rPr>
        <w:tab/>
        <w:t>Ene. 2007 – Ene. 2014</w:t>
      </w:r>
    </w:p>
    <w:p w14:paraId="04DF795C" w14:textId="77777777" w:rsidR="001A0BDC" w:rsidRDefault="00000000">
      <w:r>
        <w:rPr>
          <w:i/>
          <w:iCs/>
          <w:color w:val="2E75B6"/>
          <w:sz w:val="15"/>
          <w:szCs w:val="15"/>
        </w:rPr>
        <w:t>Universidad de las Américas – Santiago, Chile</w:t>
      </w:r>
    </w:p>
    <w:p w14:paraId="0C3F77BF" w14:textId="77777777" w:rsidR="001A0BDC" w:rsidRDefault="00000000">
      <w:pPr>
        <w:pBdr>
          <w:bottom w:val="single" w:sz="6" w:space="2" w:color="2E75B6"/>
        </w:pBdr>
        <w:spacing w:before="200" w:after="40"/>
      </w:pPr>
      <w:r>
        <w:rPr>
          <w:b/>
          <w:bCs/>
          <w:color w:val="1B3A5C"/>
          <w:sz w:val="20"/>
          <w:szCs w:val="20"/>
        </w:rPr>
        <w:t>CERTIFICACIONES</w:t>
      </w:r>
    </w:p>
    <w:p w14:paraId="79E18C23" w14:textId="77777777" w:rsidR="001A0BDC" w:rsidRDefault="00000000">
      <w:pPr>
        <w:spacing w:before="50"/>
      </w:pPr>
      <w:r>
        <w:rPr>
          <w:b/>
          <w:bCs/>
          <w:color w:val="1B3A5C"/>
          <w:sz w:val="15"/>
          <w:szCs w:val="15"/>
        </w:rPr>
        <w:t>Selección de Variedades por Mutaciones</w:t>
      </w:r>
      <w:r>
        <w:rPr>
          <w:color w:val="666666"/>
          <w:sz w:val="15"/>
          <w:szCs w:val="15"/>
        </w:rPr>
        <w:t xml:space="preserve"> – IAEA, Costa Rica, Jul. 2019</w:t>
      </w:r>
    </w:p>
    <w:p w14:paraId="5CCA0BEE" w14:textId="77777777" w:rsidR="001A0BDC" w:rsidRDefault="00000000">
      <w:pPr>
        <w:spacing w:before="30"/>
      </w:pPr>
      <w:r>
        <w:rPr>
          <w:b/>
          <w:bCs/>
          <w:color w:val="1B3A5C"/>
          <w:sz w:val="15"/>
          <w:szCs w:val="15"/>
        </w:rPr>
        <w:t>Procesos Participativos en Desarrollo Agropecuario</w:t>
      </w:r>
      <w:r>
        <w:rPr>
          <w:color w:val="666666"/>
          <w:sz w:val="15"/>
          <w:szCs w:val="15"/>
        </w:rPr>
        <w:t xml:space="preserve"> – MASHAV, Israel, Mar. 2021</w:t>
      </w:r>
    </w:p>
    <w:p w14:paraId="4E3894FC" w14:textId="77777777" w:rsidR="001A0BDC" w:rsidRDefault="00000000">
      <w:pPr>
        <w:pBdr>
          <w:bottom w:val="single" w:sz="6" w:space="2" w:color="2E75B6"/>
        </w:pBdr>
        <w:spacing w:before="200" w:after="40"/>
      </w:pPr>
      <w:r>
        <w:rPr>
          <w:b/>
          <w:bCs/>
          <w:color w:val="1B3A5C"/>
          <w:sz w:val="20"/>
          <w:szCs w:val="20"/>
        </w:rPr>
        <w:t>HERRAMIENTAS, PROGRAMACIÓN E IDIOMAS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1A0BDC" w14:paraId="1C72FA8C" w14:textId="77777777"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B8541F" w14:textId="77777777" w:rsidR="001A0BDC" w:rsidRDefault="00000000">
            <w:pPr>
              <w:spacing w:after="30"/>
            </w:pPr>
            <w:r>
              <w:rPr>
                <w:b/>
                <w:bCs/>
                <w:color w:val="1B3A5C"/>
                <w:sz w:val="16"/>
                <w:szCs w:val="16"/>
              </w:rPr>
              <w:t>SIG / Teledetección</w:t>
            </w:r>
          </w:p>
          <w:p w14:paraId="19801B88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QGIS</w:t>
            </w:r>
          </w:p>
          <w:p w14:paraId="62ACE408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SNAP (ESA)</w:t>
            </w:r>
          </w:p>
          <w:p w14:paraId="1DB4E684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Google Earth Engine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FC271A" w14:textId="77777777" w:rsidR="001A0BDC" w:rsidRDefault="00000000">
            <w:pPr>
              <w:spacing w:after="30"/>
            </w:pPr>
            <w:r>
              <w:rPr>
                <w:b/>
                <w:bCs/>
                <w:color w:val="1B3A5C"/>
                <w:sz w:val="16"/>
                <w:szCs w:val="16"/>
              </w:rPr>
              <w:t>Programación</w:t>
            </w:r>
          </w:p>
          <w:p w14:paraId="4774DF6B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Python</w:t>
            </w:r>
          </w:p>
          <w:p w14:paraId="69ABF6F1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R</w:t>
            </w:r>
          </w:p>
          <w:p w14:paraId="052D6B0C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JavaScript</w:t>
            </w:r>
          </w:p>
          <w:p w14:paraId="3A7069A0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Microsoft Office (avanzado)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90F6CC" w14:textId="77777777" w:rsidR="001A0BDC" w:rsidRDefault="00000000">
            <w:pPr>
              <w:spacing w:after="30"/>
            </w:pPr>
            <w:r>
              <w:rPr>
                <w:b/>
                <w:bCs/>
                <w:color w:val="1B3A5C"/>
                <w:sz w:val="16"/>
                <w:szCs w:val="16"/>
              </w:rPr>
              <w:t>Idiomas</w:t>
            </w:r>
          </w:p>
          <w:p w14:paraId="25589128" w14:textId="77777777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Español – Nativo</w:t>
            </w:r>
          </w:p>
          <w:p w14:paraId="51C562FA" w14:textId="28745B6B" w:rsidR="001A0BDC" w:rsidRDefault="00000000">
            <w:pPr>
              <w:spacing w:after="15"/>
            </w:pPr>
            <w:r>
              <w:rPr>
                <w:color w:val="333333"/>
                <w:sz w:val="15"/>
                <w:szCs w:val="15"/>
              </w:rPr>
              <w:t>▸ Inglés</w:t>
            </w:r>
            <w:r w:rsidR="008A1577">
              <w:rPr>
                <w:color w:val="333333"/>
                <w:sz w:val="15"/>
                <w:szCs w:val="15"/>
              </w:rPr>
              <w:t xml:space="preserve"> – Intermedio </w:t>
            </w:r>
          </w:p>
        </w:tc>
      </w:tr>
    </w:tbl>
    <w:p w14:paraId="02028BA7" w14:textId="77777777" w:rsidR="001A0BDC" w:rsidRDefault="00000000">
      <w:pPr>
        <w:pBdr>
          <w:bottom w:val="single" w:sz="6" w:space="2" w:color="2E75B6"/>
        </w:pBdr>
        <w:spacing w:before="200" w:after="40"/>
      </w:pPr>
      <w:r>
        <w:rPr>
          <w:b/>
          <w:bCs/>
          <w:color w:val="1B3A5C"/>
          <w:sz w:val="20"/>
          <w:szCs w:val="20"/>
        </w:rPr>
        <w:t>REFERENCIAS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1A0BDC" w14:paraId="5FA44F4D" w14:textId="77777777"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B44163" w14:textId="77777777" w:rsidR="001A0BDC" w:rsidRDefault="00000000">
            <w:pPr>
              <w:spacing w:after="5"/>
            </w:pPr>
            <w:r>
              <w:rPr>
                <w:b/>
                <w:bCs/>
                <w:color w:val="1B3A5C"/>
                <w:sz w:val="15"/>
                <w:szCs w:val="15"/>
              </w:rPr>
              <w:t>Carlos Sanlley</w:t>
            </w:r>
          </w:p>
          <w:p w14:paraId="3C3D43E4" w14:textId="77777777" w:rsidR="001A0BDC" w:rsidRDefault="00000000">
            <w:pPr>
              <w:spacing w:after="5"/>
            </w:pPr>
            <w:r>
              <w:rPr>
                <w:color w:val="333333"/>
                <w:sz w:val="14"/>
                <w:szCs w:val="14"/>
              </w:rPr>
              <w:t>Dir. General, Mapix Aerial</w:t>
            </w:r>
          </w:p>
          <w:p w14:paraId="156252E7" w14:textId="77777777" w:rsidR="001A0BDC" w:rsidRDefault="00000000">
            <w:r>
              <w:rPr>
                <w:color w:val="666666"/>
                <w:sz w:val="14"/>
                <w:szCs w:val="14"/>
              </w:rPr>
              <w:t>849-220-1487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132FEC" w14:textId="3F42954A" w:rsidR="001A0BDC" w:rsidRDefault="008A1577">
            <w:pPr>
              <w:spacing w:after="5"/>
            </w:pPr>
            <w:r>
              <w:rPr>
                <w:b/>
                <w:bCs/>
                <w:color w:val="1B3A5C"/>
                <w:sz w:val="15"/>
                <w:szCs w:val="15"/>
              </w:rPr>
              <w:t xml:space="preserve">Gabriel Gonzalez </w:t>
            </w:r>
          </w:p>
          <w:p w14:paraId="13225FEE" w14:textId="6ACB582D" w:rsidR="001A0BDC" w:rsidRDefault="008A1577">
            <w:pPr>
              <w:spacing w:after="5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</w:rPr>
              <w:t xml:space="preserve">Especialista innovación Agricola </w:t>
            </w:r>
          </w:p>
          <w:p w14:paraId="249FDE1E" w14:textId="4EE909C9" w:rsidR="008A1577" w:rsidRDefault="008A1577">
            <w:pPr>
              <w:spacing w:after="5"/>
              <w:rPr>
                <w:color w:val="666666"/>
                <w:sz w:val="14"/>
                <w:szCs w:val="14"/>
              </w:rPr>
            </w:pPr>
            <w:r>
              <w:rPr>
                <w:color w:val="666666"/>
                <w:sz w:val="14"/>
                <w:szCs w:val="14"/>
              </w:rPr>
              <w:t>+569 9939 6839</w:t>
            </w:r>
          </w:p>
          <w:p w14:paraId="4D10E197" w14:textId="77777777" w:rsidR="008A1577" w:rsidRDefault="008A1577">
            <w:pPr>
              <w:spacing w:after="5"/>
            </w:pPr>
          </w:p>
          <w:p w14:paraId="1319F29D" w14:textId="77777777" w:rsidR="008A1577" w:rsidRDefault="008A1577">
            <w:pPr>
              <w:spacing w:after="5"/>
            </w:pPr>
          </w:p>
          <w:p w14:paraId="0F3EACA0" w14:textId="77777777" w:rsidR="008A1577" w:rsidRDefault="008A1577">
            <w:pPr>
              <w:spacing w:after="5"/>
            </w:pPr>
          </w:p>
          <w:p w14:paraId="7986D3ED" w14:textId="77777777" w:rsidR="008A1577" w:rsidRDefault="008A1577">
            <w:pPr>
              <w:spacing w:after="5"/>
            </w:pPr>
          </w:p>
          <w:p w14:paraId="28C6F638" w14:textId="4474FFF2" w:rsidR="001A0BDC" w:rsidRDefault="001A0BDC"/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E08421" w14:textId="77777777" w:rsidR="001A0BDC" w:rsidRDefault="00000000">
            <w:pPr>
              <w:spacing w:after="5"/>
            </w:pPr>
            <w:r>
              <w:rPr>
                <w:b/>
                <w:bCs/>
                <w:color w:val="1B3A5C"/>
                <w:sz w:val="15"/>
                <w:szCs w:val="15"/>
              </w:rPr>
              <w:t>Pedro Pablo Peña</w:t>
            </w:r>
          </w:p>
          <w:p w14:paraId="0739D243" w14:textId="77777777" w:rsidR="001A0BDC" w:rsidRDefault="00000000">
            <w:pPr>
              <w:spacing w:after="5"/>
            </w:pPr>
            <w:r>
              <w:rPr>
                <w:color w:val="333333"/>
                <w:sz w:val="14"/>
                <w:szCs w:val="14"/>
              </w:rPr>
              <w:t>Ex Representante FAO</w:t>
            </w:r>
          </w:p>
          <w:p w14:paraId="504419F3" w14:textId="77777777" w:rsidR="001A0BDC" w:rsidRDefault="00000000">
            <w:r>
              <w:rPr>
                <w:color w:val="666666"/>
                <w:sz w:val="14"/>
                <w:szCs w:val="14"/>
              </w:rPr>
              <w:t>+1 (829) 766-6652</w:t>
            </w:r>
          </w:p>
        </w:tc>
      </w:tr>
    </w:tbl>
    <w:p w14:paraId="3D831683" w14:textId="77777777" w:rsidR="009B6793" w:rsidRDefault="009B6793"/>
    <w:sectPr w:rsidR="009B6793">
      <w:pgSz w:w="12240" w:h="15840"/>
      <w:pgMar w:top="860" w:right="1080" w:bottom="6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468"/>
    <w:multiLevelType w:val="hybridMultilevel"/>
    <w:tmpl w:val="3D0A154C"/>
    <w:lvl w:ilvl="0" w:tplc="4EC89C8A">
      <w:start w:val="1"/>
      <w:numFmt w:val="bullet"/>
      <w:lvlText w:val="●"/>
      <w:lvlJc w:val="left"/>
      <w:pPr>
        <w:ind w:left="720" w:hanging="360"/>
      </w:pPr>
    </w:lvl>
    <w:lvl w:ilvl="1" w:tplc="E6387512">
      <w:start w:val="1"/>
      <w:numFmt w:val="bullet"/>
      <w:lvlText w:val="○"/>
      <w:lvlJc w:val="left"/>
      <w:pPr>
        <w:ind w:left="1440" w:hanging="360"/>
      </w:pPr>
    </w:lvl>
    <w:lvl w:ilvl="2" w:tplc="8CE6EA26">
      <w:start w:val="1"/>
      <w:numFmt w:val="bullet"/>
      <w:lvlText w:val="■"/>
      <w:lvlJc w:val="left"/>
      <w:pPr>
        <w:ind w:left="2160" w:hanging="360"/>
      </w:pPr>
    </w:lvl>
    <w:lvl w:ilvl="3" w:tplc="5EEAD3B6">
      <w:start w:val="1"/>
      <w:numFmt w:val="bullet"/>
      <w:lvlText w:val="●"/>
      <w:lvlJc w:val="left"/>
      <w:pPr>
        <w:ind w:left="2880" w:hanging="360"/>
      </w:pPr>
    </w:lvl>
    <w:lvl w:ilvl="4" w:tplc="88BAAA62">
      <w:start w:val="1"/>
      <w:numFmt w:val="bullet"/>
      <w:lvlText w:val="○"/>
      <w:lvlJc w:val="left"/>
      <w:pPr>
        <w:ind w:left="3600" w:hanging="360"/>
      </w:pPr>
    </w:lvl>
    <w:lvl w:ilvl="5" w:tplc="FDFE9324">
      <w:start w:val="1"/>
      <w:numFmt w:val="bullet"/>
      <w:lvlText w:val="■"/>
      <w:lvlJc w:val="left"/>
      <w:pPr>
        <w:ind w:left="4320" w:hanging="360"/>
      </w:pPr>
    </w:lvl>
    <w:lvl w:ilvl="6" w:tplc="4554FBB6">
      <w:start w:val="1"/>
      <w:numFmt w:val="bullet"/>
      <w:lvlText w:val="●"/>
      <w:lvlJc w:val="left"/>
      <w:pPr>
        <w:ind w:left="5040" w:hanging="360"/>
      </w:pPr>
    </w:lvl>
    <w:lvl w:ilvl="7" w:tplc="31F01AC4">
      <w:start w:val="1"/>
      <w:numFmt w:val="bullet"/>
      <w:lvlText w:val="●"/>
      <w:lvlJc w:val="left"/>
      <w:pPr>
        <w:ind w:left="5760" w:hanging="360"/>
      </w:pPr>
    </w:lvl>
    <w:lvl w:ilvl="8" w:tplc="1FCC5F8A">
      <w:start w:val="1"/>
      <w:numFmt w:val="bullet"/>
      <w:lvlText w:val="●"/>
      <w:lvlJc w:val="left"/>
      <w:pPr>
        <w:ind w:left="6480" w:hanging="360"/>
      </w:pPr>
    </w:lvl>
  </w:abstractNum>
  <w:num w:numId="1" w16cid:durableId="97912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DC"/>
    <w:rsid w:val="000A380D"/>
    <w:rsid w:val="001A0BDC"/>
    <w:rsid w:val="00392065"/>
    <w:rsid w:val="007219CA"/>
    <w:rsid w:val="0081757A"/>
    <w:rsid w:val="008A1577"/>
    <w:rsid w:val="009B6793"/>
    <w:rsid w:val="00A4075E"/>
    <w:rsid w:val="00AA36C1"/>
    <w:rsid w:val="00BF5CE2"/>
    <w:rsid w:val="00CB2B6A"/>
    <w:rsid w:val="00E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44109"/>
  <w15:docId w15:val="{2CA1D036-71DB-234E-A27C-03C6005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3800</Characters>
  <Application>Microsoft Office Word</Application>
  <DocSecurity>0</DocSecurity>
  <Lines>88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Arturo Bisono</cp:lastModifiedBy>
  <cp:revision>2</cp:revision>
  <cp:lastPrinted>2026-04-21T18:12:00Z</cp:lastPrinted>
  <dcterms:created xsi:type="dcterms:W3CDTF">2026-05-16T22:12:00Z</dcterms:created>
  <dcterms:modified xsi:type="dcterms:W3CDTF">2026-05-16T22:12:00Z</dcterms:modified>
</cp:coreProperties>
</file>